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experimental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 compilation needed); Normapp runs on Android 6+ (please build it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rPr>
          <w:rFonts w:ascii="Arial" w:hAnsi="Arial" w:cs="Arial"/>
          <w:b w:val="false"/>
          <w:b w:val="false"/>
          <w:i/>
          <w:i/>
          <w:sz w:val="22"/>
          <w:szCs w:val="22"/>
        </w:rPr>
      </w:pPr>
      <w:r>
        <w:rPr>
          <w:rFonts w:cs="Arial" w:ascii="Arial" w:hAnsi="Arial"/>
          <w:b w:val="false"/>
          <w:i/>
          <w:sz w:val="22"/>
          <w:szCs w:val="22"/>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The Fog computing paradigm [2] was introduced in 2012 with the goal of providing highly-scalable network and computing infrastructures for latency and location-aware (mobile) IoT applications, while augmenting resource-constrained devices with processing/storage resources in their proximity. Several and varied technological alternatives to realize this idea, including cloudlets, mobile edge computing, micro datacenters, nano datacenters and femto clouds, have been introduced [1], which aim at processing data/computations using computing resources located at the edge of the network -accessible through wireless protocols-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reality has led to another paradigm shift by which relying on not-so-close fog servers to support IoT applications consuming and processing the streams of data from such devices might not suffice, whereas massively exploiting hardware at the closer edge is the solution. This is particularly true considering that today’s IoT applications are becoming more commonplace, sophisticated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To this end, Dew computing proposes to establish clusters of mobile devices at the very edge [3], as a form of “ubiquitous and opportunistic computing” within data sensing contexts. The goal is to exploit in principle the smartphones around us daily to support these applications, specially in public places -public transport, classrooms, coffee shops, and so on- where many nearby devices are present, and hence a cost-effective and performance efficient platform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This paper presents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aimed at supporting experimentation with a specific but broad family of such applications, i.e. those using deep learning over image data streams. The framework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experimentation platform is threefold, namely to allow researchers to a) to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existing Dew simulators, thus creating a virtuous circle in deriving task schedulers [9]. As we support arbritrary streams and tensorflow models, in practice, derived knowledge using our platform might impact many disciplines where Dew computing is the killer computing paradigm, such as the ones illustrated later in the paper, i.e. Smart cities and Agriculture 4.0.</w:t>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8680" cy="4613910"/>
                <wp:effectExtent l="0" t="0" r="0" b="0"/>
                <wp:wrapSquare wrapText="largest"/>
                <wp:docPr id="1" name="Frame1"/>
                <a:graphic xmlns:a="http://schemas.openxmlformats.org/drawingml/2006/main">
                  <a:graphicData uri="http://schemas.microsoft.com/office/word/2010/wordprocessingShape">
                    <wps:wsp>
                      <wps:cNvSpPr/>
                      <wps:spPr>
                        <a:xfrm>
                          <a:off x="0" y="0"/>
                          <a:ext cx="5947920" cy="46134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2pt;margin-top:0.05pt;width:468.3pt;height:363.2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7"/>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w10:wrap type="square" side="largest"/>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essentially a client-server software system, complemented with a hardware device called Motrol (see </w:t>
      </w:r>
      <w:commentRangeStart w:id="4"/>
      <w:r>
        <w:rPr>
          <w:rFonts w:cs="Arial" w:ascii="Arial" w:hAnsi="Arial"/>
          <w:i w:val="false"/>
          <w:iCs w:val="false"/>
          <w:szCs w:val="22"/>
        </w:rPr>
        <w:t>Figure</w:t>
      </w:r>
      <w:r>
        <w:rPr>
          <w:rFonts w:cs="Arial" w:ascii="Arial" w:hAnsi="Arial"/>
          <w:i w:val="false"/>
          <w:iCs w:val="false"/>
          <w:szCs w:val="22"/>
        </w:rPr>
      </w:r>
      <w:commentRangeEnd w:id="4"/>
      <w:r>
        <w:commentReference w:id="4"/>
      </w:r>
      <w:r>
        <w:rPr>
          <w:rFonts w:cs="Arial" w:ascii="Arial" w:hAnsi="Arial"/>
          <w:i w:val="false"/>
          <w:iCs w:val="false"/>
          <w:szCs w:val="22"/>
        </w:rPr>
        <w:t xml:space="preserv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for which we </w:t>
      </w:r>
      <w:r>
        <w:rPr>
          <w:rFonts w:cs="Arial" w:ascii="Arial" w:hAnsi="Arial"/>
          <w:i w:val="false"/>
          <w:iCs w:val="false"/>
          <w:szCs w:val="22"/>
        </w:rPr>
        <w:t xml:space="preserve">provide a native Android application called </w:t>
      </w:r>
      <w:r>
        <w:rPr>
          <w:rFonts w:cs="Arial" w:ascii="Arial" w:hAnsi="Arial"/>
          <w:i/>
          <w:iCs/>
          <w:szCs w:val="22"/>
        </w:rPr>
        <w:t>Normapp</w:t>
      </w:r>
      <w:r>
        <w:rPr>
          <w:rFonts w:cs="Arial" w:ascii="Arial" w:hAnsi="Arial"/>
          <w:i w:val="false"/>
          <w:iCs w:val="false"/>
          <w:szCs w:val="22"/>
        </w:rPr>
        <w:t xml:space="preserve">. This application has been tested with devices running Android 6 onwards.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server, called </w:t>
      </w:r>
      <w:r>
        <w:rPr>
          <w:rFonts w:cs="Arial" w:ascii="Arial" w:hAnsi="Arial"/>
          <w:i/>
          <w:iCs/>
          <w:szCs w:val="22"/>
        </w:rPr>
        <w:t>emanager_server</w:t>
      </w:r>
      <w:r>
        <w:rPr>
          <w:rFonts w:cs="Arial" w:ascii="Arial" w:hAnsi="Arial"/>
          <w:i w:val="false"/>
          <w:iCs w:val="false"/>
          <w:szCs w:val="22"/>
        </w:rPr>
        <w:t xml:space="preserve">, runs on a conventional Linux-powered </w:t>
      </w:r>
      <w:r>
        <w:rPr>
          <w:rFonts w:eastAsia="Calibri" w:cs="Arial" w:ascii="Arial" w:hAnsi="Arial"/>
          <w:i w:val="false"/>
          <w:iCs w:val="false"/>
          <w:color w:val="000000"/>
          <w:kern w:val="0"/>
          <w:sz w:val="22"/>
          <w:szCs w:val="22"/>
          <w:lang w:val="en-GB" w:eastAsia="en-GB" w:bidi="ar-SA"/>
        </w:rPr>
        <w:t>machine</w:t>
      </w:r>
      <w:r>
        <w:rPr>
          <w:rFonts w:cs="Arial" w:ascii="Arial" w:hAnsi="Arial"/>
          <w:i w:val="false"/>
          <w:iCs w:val="false"/>
          <w:szCs w:val="22"/>
        </w:rPr>
        <w:t xml:space="preserve">. It is implemented in Python 3.7+ </w:t>
      </w:r>
      <w:r>
        <w:rPr>
          <w:rFonts w:eastAsia="Calibri" w:cs="Arial" w:ascii="Arial" w:hAnsi="Arial"/>
          <w:i w:val="false"/>
          <w:iCs w:val="false"/>
          <w:color w:val="000000"/>
          <w:kern w:val="0"/>
          <w:sz w:val="22"/>
          <w:szCs w:val="22"/>
          <w:lang w:val="en-GB" w:eastAsia="en-GB" w:bidi="ar-SA"/>
        </w:rPr>
        <w:t>as an HTTP-powered backend</w:t>
      </w:r>
      <w:r>
        <w:rPr>
          <w:rFonts w:cs="Arial" w:ascii="Arial" w:hAnsi="Arial"/>
          <w:i w:val="false"/>
          <w:iCs w:val="false"/>
          <w:szCs w:val="22"/>
        </w:rPr>
        <w:t xml:space="preserve">. The server </w:t>
      </w:r>
      <w:r>
        <w:rPr>
          <w:rFonts w:eastAsia="Calibri" w:cs="Arial" w:ascii="Arial" w:hAnsi="Arial"/>
          <w:i w:val="false"/>
          <w:iCs w:val="false"/>
          <w:color w:val="000000"/>
          <w:kern w:val="0"/>
          <w:sz w:val="22"/>
          <w:szCs w:val="22"/>
          <w:lang w:val="en-GB" w:eastAsia="en-GB" w:bidi="ar-SA"/>
        </w:rPr>
        <w:t xml:space="preserve">implements logging and graceful shutdown using the </w:t>
      </w:r>
      <w:r>
        <w:rPr>
          <w:rFonts w:eastAsia="Calibri" w:cs="Arial" w:ascii="Arial" w:hAnsi="Arial"/>
          <w:i/>
          <w:iCs/>
          <w:color w:val="000000"/>
          <w:kern w:val="0"/>
          <w:sz w:val="22"/>
          <w:szCs w:val="22"/>
          <w:lang w:val="en-GB" w:eastAsia="en-GB" w:bidi="ar-SA"/>
        </w:rPr>
        <w:t>logging</w:t>
      </w:r>
      <w:r>
        <w:rPr>
          <w:rFonts w:eastAsia="Calibri" w:cs="Arial" w:ascii="Arial" w:hAnsi="Arial"/>
          <w:i w:val="false"/>
          <w:iCs w:val="false"/>
          <w:color w:val="000000"/>
          <w:kern w:val="0"/>
          <w:sz w:val="22"/>
          <w:szCs w:val="22"/>
          <w:lang w:val="en-GB" w:eastAsia="en-GB" w:bidi="ar-SA"/>
        </w:rPr>
        <w:t xml:space="preserve"> and </w:t>
      </w:r>
      <w:r>
        <w:rPr>
          <w:rFonts w:eastAsia="Calibri" w:cs="Arial" w:ascii="Arial" w:hAnsi="Arial"/>
          <w:i/>
          <w:iCs/>
          <w:color w:val="000000"/>
          <w:kern w:val="0"/>
          <w:sz w:val="22"/>
          <w:szCs w:val="22"/>
          <w:lang w:val="en-GB" w:eastAsia="en-GB" w:bidi="ar-SA"/>
        </w:rPr>
        <w:t>signal</w:t>
      </w:r>
      <w:r>
        <w:rPr>
          <w:rFonts w:eastAsia="Calibri" w:cs="Arial" w:ascii="Arial" w:hAnsi="Arial"/>
          <w:i w:val="false"/>
          <w:iCs w:val="false"/>
          <w:color w:val="000000"/>
          <w:kern w:val="0"/>
          <w:sz w:val="22"/>
          <w:szCs w:val="22"/>
          <w:lang w:val="en-GB" w:eastAsia="en-GB" w:bidi="ar-SA"/>
        </w:rPr>
        <w:t xml:space="preserve"> modules of Python</w:t>
      </w:r>
      <w:r>
        <w:rPr>
          <w:rFonts w:cs="Arial" w:ascii="Arial" w:hAnsi="Arial"/>
          <w:i w:val="false"/>
          <w:iCs w:val="false"/>
          <w:szCs w:val="22"/>
        </w:rPr>
        <w:t xml:space="preserve">. Finally, another client is a module named </w:t>
      </w:r>
      <w:r>
        <w:rPr>
          <w:rFonts w:cs="Arial" w:ascii="Arial" w:hAnsi="Arial"/>
          <w:i/>
          <w:iCs/>
          <w:szCs w:val="22"/>
        </w:rPr>
        <w:t>scnrunner</w:t>
      </w:r>
      <w:r>
        <w:rPr>
          <w:rFonts w:cs="Arial" w:ascii="Arial" w:hAnsi="Arial"/>
          <w:i w:val="false"/>
          <w:iCs w:val="false"/>
          <w:szCs w:val="22"/>
        </w:rPr>
        <w:t>, which is also written in Python 3.7+. This is the module in charge of parsing Dew computing scenario parameters, generating corresponding data streams, deriving</w:t>
      </w:r>
      <w:r>
        <w:rPr>
          <w:rFonts w:eastAsia="Calibri" w:cs="Arial" w:ascii="Arial" w:hAnsi="Arial"/>
          <w:i w:val="false"/>
          <w:iCs w:val="false"/>
          <w:color w:val="000000"/>
          <w:kern w:val="0"/>
          <w:sz w:val="22"/>
          <w:szCs w:val="22"/>
          <w:lang w:val="en-GB" w:eastAsia="en-GB" w:bidi="ar-SA"/>
        </w:rPr>
        <w:t xml:space="preserve"> deep learning-based jobs, deciding which node executes which job, and submitting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Motrol 1.0 and Motrol 1.5.</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mc:AlternateContent>
          <mc:Choice Requires="wps">
            <w:drawing>
              <wp:anchor behindDoc="0" distT="0" distB="0" distL="0" distR="0" simplePos="0" locked="0" layoutInCell="0" allowOverlap="1" relativeHeight="10">
                <wp:simplePos x="0" y="0"/>
                <wp:positionH relativeFrom="column">
                  <wp:align>center</wp:align>
                </wp:positionH>
                <wp:positionV relativeFrom="paragraph">
                  <wp:posOffset>635</wp:posOffset>
                </wp:positionV>
                <wp:extent cx="5944870" cy="5452745"/>
                <wp:effectExtent l="0" t="0" r="0" b="0"/>
                <wp:wrapSquare wrapText="largest"/>
                <wp:docPr id="5" name="Frame2"/>
                <a:graphic xmlns:a="http://schemas.openxmlformats.org/drawingml/2006/main">
                  <a:graphicData uri="http://schemas.microsoft.com/office/word/2010/wordprocessingShape">
                    <wps:wsp>
                      <wps:cNvSpPr/>
                      <wps:spPr>
                        <a:xfrm>
                          <a:off x="0" y="0"/>
                          <a:ext cx="5944320" cy="54522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5085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8"/>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wps:txbx>
                      <wps:bodyPr lIns="0" rIns="0" tIns="0" bIns="0" anchor="t">
                        <a:noAutofit/>
                      </wps:bodyPr>
                    </wps:wsp>
                  </a:graphicData>
                </a:graphic>
              </wp:anchor>
            </w:drawing>
          </mc:Choice>
          <mc:Fallback>
            <w:pict>
              <v:rect id="shape_0" ID="Frame2" path="m0,0l-2147483645,0l-2147483645,-2147483646l0,-2147483646xe" fillcolor="white" stroked="f" o:allowincell="f" style="position:absolute;margin-left:-0.05pt;margin-top:0.05pt;width:468pt;height:429.2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5085715"/>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9"/>
                                    <a:stretch>
                                      <a:fillRect/>
                                    </a:stretch>
                                  </pic:blipFill>
                                  <pic:spPr bwMode="auto">
                                    <a:xfrm>
                                      <a:off x="0" y="0"/>
                                      <a:ext cx="5943600" cy="508571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v:textbox>
                <w10:wrap type="square" side="largest"/>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Internally, 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Layout w:type="fixed"/>
        <w:tblCellMar>
          <w:top w:w="0" w:type="dxa"/>
          <w:left w:w="0" w:type="dxa"/>
          <w:bottom w:w="0" w:type="dxa"/>
          <w:right w:w="0" w:type="dxa"/>
        </w:tblCellMar>
      </w:tblPr>
      <w:tblGrid>
        <w:gridCol w:w="1975"/>
        <w:gridCol w:w="1769"/>
        <w:gridCol w:w="1295"/>
        <w:gridCol w:w="3061"/>
        <w:gridCol w:w="1260"/>
      </w:tblGrid>
      <w:tr>
        <w:trPr/>
        <w:tc>
          <w:tcPr>
            <w:tcW w:w="1975" w:type="dxa"/>
            <w:tcBorders/>
          </w:tcPr>
          <w:p>
            <w:pPr>
              <w:pStyle w:val="TableContents"/>
              <w:widowControl w:val="false"/>
              <w:spacing w:before="0" w:after="200"/>
              <w:rPr>
                <w:sz w:val="20"/>
                <w:szCs w:val="20"/>
              </w:rPr>
            </w:pPr>
            <w:r>
              <w:rPr>
                <w:rFonts w:ascii="Arial" w:hAnsi="Arial"/>
                <w:b/>
                <w:bCs/>
                <w:sz w:val="20"/>
                <w:szCs w:val="20"/>
              </w:rPr>
              <w:t>Rest API</w:t>
            </w:r>
          </w:p>
        </w:tc>
        <w:tc>
          <w:tcPr>
            <w:tcW w:w="1769" w:type="dxa"/>
            <w:tcBorders/>
          </w:tcPr>
          <w:p>
            <w:pPr>
              <w:pStyle w:val="TableContents"/>
              <w:widowControl w:val="false"/>
              <w:spacing w:before="0" w:after="200"/>
              <w:rPr>
                <w:sz w:val="20"/>
                <w:szCs w:val="20"/>
              </w:rPr>
            </w:pPr>
            <w:r>
              <w:rPr>
                <w:rFonts w:ascii="Arial" w:hAnsi="Arial"/>
                <w:b/>
                <w:bCs/>
                <w:sz w:val="20"/>
                <w:szCs w:val="20"/>
              </w:rPr>
              <w:t>Purpose</w:t>
            </w:r>
          </w:p>
        </w:tc>
        <w:tc>
          <w:tcPr>
            <w:tcW w:w="1295" w:type="dxa"/>
            <w:tcBorders/>
          </w:tcPr>
          <w:p>
            <w:pPr>
              <w:pStyle w:val="TableContents"/>
              <w:widowControl w:val="false"/>
              <w:spacing w:before="0" w:after="200"/>
              <w:rPr>
                <w:sz w:val="20"/>
                <w:szCs w:val="20"/>
              </w:rPr>
            </w:pPr>
            <w:r>
              <w:rPr>
                <w:rFonts w:ascii="Arial" w:hAnsi="Arial"/>
                <w:b/>
                <w:bCs/>
                <w:sz w:val="20"/>
                <w:szCs w:val="20"/>
              </w:rPr>
              <w:t>HTTP verb</w:t>
            </w:r>
          </w:p>
        </w:tc>
        <w:tc>
          <w:tcPr>
            <w:tcW w:w="3061"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 and 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Returns energy state (ac_charging, usb_charging, discharging) given a slot number.</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number to a given energy state</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769"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5"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9"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769"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attached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769"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 xml:space="preserve">means the smartphone is still attached to the server/energy device, but it is not considered for executing incoming jobs (default is </w:t>
            </w:r>
            <w:r>
              <w:rPr>
                <w:rFonts w:eastAsia="Calibri" w:cs="Calibri" w:ascii="Arial" w:hAnsi="Arial"/>
                <w:i/>
                <w:iCs/>
                <w:color w:val="000000"/>
                <w:kern w:val="0"/>
                <w:sz w:val="20"/>
                <w:szCs w:val="20"/>
                <w:lang w:val="en-GB" w:eastAsia="en-GB" w:bidi="ar-SA"/>
              </w:rPr>
              <w:t>connected</w:t>
            </w:r>
            <w:r>
              <w:rPr>
                <w:rFonts w:eastAsia="Calibri" w:cs="Calibri" w:ascii="Arial" w:hAnsi="Arial"/>
                <w:color w:val="000000"/>
                <w:kern w:val="0"/>
                <w:sz w:val="20"/>
                <w:szCs w:val="20"/>
                <w:lang w:val="en-GB" w:eastAsia="en-GB" w:bidi="ar-SA"/>
              </w:rPr>
              <w:t>)</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 in generating partitions from a continuous flow of data, for example, a set of images captured within a time window, so as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worker node within the Dew computing environment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smartphone cluster). In its current development state, atomic jobs execution mean to perform object recognition and classification operations with deep learning using images as input.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src/scnrunner/stream.py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text streams, etc.</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w:t>
      </w:r>
      <w:r>
        <w:rPr>
          <w:rFonts w:eastAsia="Calibri" w:cs="Calibri" w:ascii="Arial" w:hAnsi="Arial"/>
          <w:color w:val="000000"/>
          <w:kern w:val="0"/>
          <w:sz w:val="22"/>
          <w:szCs w:val="20"/>
          <w:lang w:val="en-GB" w:eastAsia="en-GB" w:bidi="ar-SA"/>
        </w:rPr>
        <w:t xml:space="preserve">in </w:t>
      </w:r>
      <w:r>
        <w:rPr>
          <w:rFonts w:ascii="Arial" w:hAnsi="Arial"/>
        </w:rPr>
        <w:t xml:space="preserve">order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w:t>
      </w:r>
    </w:p>
    <w:p>
      <w:pPr>
        <w:pStyle w:val="Normal"/>
        <w:spacing w:lineRule="auto" w:line="240" w:before="0" w:after="0"/>
        <w:jc w:val="both"/>
        <w:rPr>
          <w:rFonts w:ascii="Arial" w:hAnsi="Arial"/>
        </w:rPr>
      </w:pPr>
      <w:r>
        <w:rPr>
          <w:rFonts w:ascii="Arial" w:hAnsi="Arial"/>
        </w:rPr>
        <w:tab/>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5"/>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To explain the functionality of the platform, let us step into how the user operates the platform. Once installed in a PC, the first step is to start the server,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participating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back to the server. Job creation and result summarization  is responsibility of the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 xml:space="preserve"> module, the second major subproject of the platform, which is illustrated next.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3"/>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7410" cy="2441575"/>
                <wp:effectExtent l="0" t="0" r="0" b="0"/>
                <wp:wrapSquare wrapText="largest"/>
                <wp:docPr id="9" name="Frame3"/>
                <a:graphic xmlns:a="http://schemas.openxmlformats.org/drawingml/2006/main">
                  <a:graphicData uri="http://schemas.microsoft.com/office/word/2010/wordprocessingShape">
                    <wps:wsp>
                      <wps:cNvSpPr/>
                      <wps:spPr>
                        <a:xfrm>
                          <a:off x="0" y="0"/>
                          <a:ext cx="5946840" cy="24408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9050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0"/>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5pt;margin-top:0.05pt;width:468.2pt;height:192.1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905000"/>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11"/>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v:textbox>
                <w10:wrap type="square" side="largest"/>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6"/>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shows an example of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w:t>
      </w:r>
      <w:r>
        <w:rPr>
          <w:rFonts w:eastAsia="Calibri" w:cs="Arial" w:ascii="Arial" w:hAnsi="Arial"/>
          <w:iCs/>
          <w:color w:val="000000"/>
          <w:kern w:val="0"/>
          <w:sz w:val="22"/>
          <w:szCs w:val="22"/>
          <w:lang w:val="en-GB" w:eastAsia="en-GB" w:bidi="ar-SA"/>
        </w:rPr>
        <w:t xml:space="preserve">that </w:t>
      </w:r>
      <w:r>
        <w:rPr>
          <w:rFonts w:eastAsia="Calibri" w:cs="Arial" w:ascii="Arial" w:hAnsi="Arial"/>
          <w:iCs/>
          <w:sz w:val="22"/>
          <w:szCs w:val="22"/>
        </w:rPr>
        <w:t xml:space="preserve">is dynamically loaded by the platform whose resposibility is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mentioned in the previous section is invoked by the platform.</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Notice that paths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xml:space="preserve">).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--detectTime(millis)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mc:AlternateContent>
          <mc:Choice Requires="wps">
            <w:drawing>
              <wp:anchor behindDoc="0" distT="0" distB="0" distL="0" distR="0" simplePos="0" locked="0" layoutInCell="0" allowOverlap="1" relativeHeight="8">
                <wp:simplePos x="0" y="0"/>
                <wp:positionH relativeFrom="column">
                  <wp:posOffset>45720</wp:posOffset>
                </wp:positionH>
                <wp:positionV relativeFrom="paragraph">
                  <wp:posOffset>1381125</wp:posOffset>
                </wp:positionV>
                <wp:extent cx="5946140" cy="3896360"/>
                <wp:effectExtent l="0" t="0" r="0" b="0"/>
                <wp:wrapTopAndBottom/>
                <wp:docPr id="13" name="Frame3"/>
                <a:graphic xmlns:a="http://schemas.openxmlformats.org/drawingml/2006/main">
                  <a:graphicData uri="http://schemas.microsoft.com/office/word/2010/wordprocessingShape">
                    <wps:wsp>
                      <wps:cNvSpPr/>
                      <wps:spPr>
                        <a:xfrm>
                          <a:off x="0" y="0"/>
                          <a:ext cx="5945400" cy="38955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353060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12"/>
                                          <a:stretch>
                                            <a:fillRect/>
                                          </a:stretch>
                                        </pic:blipFill>
                                        <pic:spPr bwMode="auto">
                                          <a:xfrm>
                                            <a:off x="0" y="0"/>
                                            <a:ext cx="594487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3.6pt;margin-top:108.75pt;width:468.1pt;height:306.7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353060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13"/>
                                    <a:stretch>
                                      <a:fillRect/>
                                    </a:stretch>
                                  </pic:blipFill>
                                  <pic:spPr bwMode="auto">
                                    <a:xfrm>
                                      <a:off x="0" y="0"/>
                                      <a:ext cx="5944870" cy="35306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v:textbox>
                <w10:wrap type="topAndBottom"/>
              </v:rect>
            </w:pict>
          </mc:Fallback>
        </mc:AlternateConten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 w:val="false"/>
          <w:i w:val="false"/>
          <w:iCs/>
          <w:sz w:val="22"/>
          <w:szCs w:val="22"/>
        </w:rPr>
      </w:pPr>
      <w:r>
        <w:rPr>
          <w:rFonts w:eastAsia="Calibri" w:cs="Arial" w:ascii="Arial" w:hAnsi="Arial"/>
          <w:i w:val="false"/>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46775" cy="4399280"/>
                <wp:effectExtent l="0" t="0" r="0" b="0"/>
                <wp:wrapTopAndBottom/>
                <wp:docPr id="17" name="Frame5"/>
                <a:graphic xmlns:a="http://schemas.openxmlformats.org/drawingml/2006/main">
                  <a:graphicData uri="http://schemas.microsoft.com/office/word/2010/wordprocessingShape">
                    <wps:wsp>
                      <wps:cNvSpPr/>
                      <wps:spPr>
                        <a:xfrm>
                          <a:off x="0" y="0"/>
                          <a:ext cx="5946120" cy="439848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3957955"/>
                                  <wp:effectExtent l="0" t="0" r="0" b="0"/>
                                  <wp:docPr id="19"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5" descr=""/>
                                          <pic:cNvPicPr>
                                            <a:picLocks noChangeAspect="1" noChangeArrowheads="1"/>
                                          </pic:cNvPicPr>
                                        </pic:nvPicPr>
                                        <pic:blipFill>
                                          <a:blip r:embed="rId14"/>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15pt;height:346.3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3957955"/>
                            <wp:effectExtent l="0" t="0" r="0" b="0"/>
                            <wp:docPr id="20"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5" descr=""/>
                                    <pic:cNvPicPr>
                                      <a:picLocks noChangeAspect="1" noChangeArrowheads="1"/>
                                    </pic:cNvPicPr>
                                  </pic:nvPicPr>
                                  <pic:blipFill>
                                    <a:blip r:embed="rId15"/>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commentRangeStart w:id="7"/>
      <w:r>
        <w:rPr>
          <w:rFonts w:cs="Arial" w:ascii="Arial" w:hAnsi="Arial"/>
          <w:b/>
          <w:iCs/>
          <w:szCs w:val="22"/>
        </w:rPr>
        <w:t>Impact</w:t>
      </w:r>
      <w:commentRangeEnd w:id="7"/>
      <w:r>
        <w:commentReference w:id="7"/>
      </w:r>
      <w:r>
        <w:rPr>
          <w:rFonts w:cs="Arial" w:ascii="Arial" w:hAnsi="Arial"/>
          <w:b/>
          <w:iCs/>
          <w:szCs w:val="22"/>
        </w:rPr>
      </w:r>
    </w:p>
    <w:p>
      <w:pPr>
        <w:pStyle w:val="Normal"/>
        <w:spacing w:lineRule="auto" w:line="240" w:before="0" w:after="0"/>
        <w:rPr>
          <w:rFonts w:ascii="Arial" w:hAnsi="Arial" w:cs="Arial"/>
          <w:bCs/>
          <w:i/>
          <w:i/>
          <w:szCs w:val="22"/>
        </w:rPr>
      </w:pPr>
      <w:r>
        <w:rPr>
          <w:rFonts w:cs="Arial" w:ascii="Arial" w:hAnsi="Arial"/>
          <w:bCs/>
          <w:i/>
          <w:szCs w:val="22"/>
        </w:rPr>
        <w:t xml:space="preserve">This is the </w:t>
      </w:r>
      <w:commentRangeStart w:id="8"/>
      <w:r>
        <w:rPr>
          <w:rFonts w:cs="Arial" w:ascii="Arial" w:hAnsi="Arial"/>
          <w:bCs/>
          <w:i/>
          <w:szCs w:val="22"/>
        </w:rPr>
        <w:t>main section</w:t>
      </w:r>
      <w:r>
        <w:rPr>
          <w:rFonts w:cs="Arial" w:ascii="Arial" w:hAnsi="Arial"/>
          <w:bCs/>
          <w:i/>
          <w:szCs w:val="22"/>
        </w:rPr>
      </w:r>
      <w:commentRangeEnd w:id="8"/>
      <w:r>
        <w:commentReference w:id="8"/>
      </w:r>
      <w:r>
        <w:rPr>
          <w:rFonts w:cs="Arial" w:ascii="Arial" w:hAnsi="Arial"/>
          <w:bCs/>
          <w:i/>
          <w:szCs w:val="22"/>
        </w:rPr>
        <w:t xml:space="preserve"> of the article and reviewers will weight it appropriately.</w:t>
      </w:r>
    </w:p>
    <w:p>
      <w:pPr>
        <w:pStyle w:val="Normal"/>
        <w:spacing w:lineRule="auto" w:line="240" w:before="0" w:after="0"/>
        <w:rPr>
          <w:rFonts w:ascii="Arial" w:hAnsi="Arial" w:cs="Arial"/>
          <w:bCs/>
          <w:szCs w:val="22"/>
        </w:rPr>
      </w:pPr>
      <w:r>
        <w:rPr>
          <w:rFonts w:cs="Arial" w:ascii="Arial" w:hAnsi="Arial"/>
          <w:bCs/>
          <w:i/>
          <w:szCs w:val="22"/>
        </w:rPr>
        <w:t>Please indicate: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2" w:name="_Hlk73537130"/>
      <w:bookmarkEnd w:id="2"/>
      <w:r>
        <w:rPr>
          <w:rFonts w:eastAsia="Calibri" w:cs="Arial" w:ascii="Arial" w:hAnsi="Arial"/>
          <w:b w:val="false"/>
          <w:i/>
          <w:sz w:val="22"/>
          <w:szCs w:val="22"/>
        </w:rPr>
        <w:t>Any new research questions that can be pursued as a result of your software.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In what way, and to what extent, your software improves the pursuit of existing research questions.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3" w:name="_Hlk735371301"/>
      <w:bookmarkEnd w:id="3"/>
      <w:r>
        <w:rPr>
          <w:rFonts w:eastAsia="Calibri" w:cs="Arial" w:ascii="Arial" w:hAnsi="Arial"/>
          <w:b w:val="false"/>
          <w:i/>
          <w:sz w:val="22"/>
          <w:szCs w:val="22"/>
        </w:rPr>
        <w:t>Any ways in which your software has changed the daily practice of its users.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How widespread the use of the software is within and outside the intended user group (downloads, number of users if your software is a service, citable publications, etc).</w:t>
      </w:r>
    </w:p>
    <w:p>
      <w:pPr>
        <w:pStyle w:val="Heading1"/>
        <w:numPr>
          <w:ilvl w:val="0"/>
          <w:numId w:val="2"/>
        </w:numPr>
        <w:spacing w:lineRule="auto" w:line="240" w:before="0" w:after="0"/>
        <w:ind w:left="360" w:hanging="359"/>
        <w:contextualSpacing/>
        <w:rPr>
          <w:rFonts w:ascii="Arial" w:hAnsi="Arial" w:eastAsia="Calibri" w:cs="Arial"/>
          <w:b w:val="false"/>
          <w:b w:val="false"/>
          <w:i/>
          <w:i/>
          <w:sz w:val="22"/>
          <w:szCs w:val="22"/>
        </w:rPr>
      </w:pPr>
      <w:r>
        <w:rPr>
          <w:rFonts w:eastAsia="Calibri" w:cs="Arial" w:ascii="Arial" w:hAnsi="Arial"/>
          <w:b w:val="false"/>
          <w:i/>
          <w:sz w:val="22"/>
          <w:szCs w:val="22"/>
        </w:rPr>
        <w:t>How the software is being used in commercial settings and/or how it has led to the creation of spin-off companies.</w:t>
      </w:r>
    </w:p>
    <w:p>
      <w:pPr>
        <w:pStyle w:val="Normal"/>
        <w:spacing w:before="0" w:after="0"/>
        <w:rPr>
          <w:rFonts w:ascii="Arial" w:hAnsi="Arial" w:cs="Arial"/>
          <w:i/>
          <w:i/>
          <w:iCs/>
        </w:rPr>
      </w:pPr>
      <w:r>
        <w:rPr>
          <w:rFonts w:cs="Arial" w:ascii="Arial" w:hAnsi="Arial"/>
          <w:i/>
          <w:iCs/>
        </w:rPr>
        <w:t>Please note that points 1 and 2 are best demonstrated by references to citable publications.</w:t>
      </w:r>
      <w:bookmarkStart w:id="4" w:name="_Hlk73537184"/>
      <w:bookmarkEnd w:id="4"/>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Conclusions</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 xml:space="preserve">Acknowledgements </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6">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5" w:name="_Hlk76743319"/>
      <w:bookmarkEnd w:id="5"/>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and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and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In Proceedings of the first edition of the MCC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ACM,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and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7">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 xml:space="preserve">and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w:t>
      </w:r>
      <w:r>
        <w:rPr>
          <w:rFonts w:eastAsia="Calibri" w:cs="Arial" w:ascii="Arial" w:hAnsi="Arial"/>
          <w:iCs/>
          <w:color w:val="000000"/>
          <w:kern w:val="0"/>
          <w:sz w:val="22"/>
          <w:szCs w:val="22"/>
          <w:lang w:val="en-GB" w:eastAsia="en-GB" w:bidi="ar-SA"/>
        </w:rPr>
        <w:t>and</w:t>
      </w:r>
      <w:r>
        <w:rPr>
          <w:rFonts w:eastAsia="Calibri" w:cs="Arial" w:ascii="Arial" w:hAnsi="Arial"/>
          <w:iCs/>
          <w:sz w:val="22"/>
          <w:szCs w:val="22"/>
        </w:rPr>
        <w:t xml:space="preserve"> A. Zunino. Motrol 2.0: A Dew-oriented hardware/software platform for batch-benchmarking smartphones. </w:t>
      </w:r>
      <w:r>
        <w:rPr>
          <w:rFonts w:eastAsia="Calibri" w:cs="Arial" w:ascii="Arial" w:hAnsi="Arial"/>
          <w:i w:val="false"/>
          <w:iCs w:val="false"/>
          <w:sz w:val="22"/>
          <w:szCs w:val="22"/>
        </w:rPr>
        <w:t>IEEE 45th Annual Computers, Software, and Applications Conference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 </w:t>
      </w:r>
      <w:r>
        <w:rPr>
          <w:rFonts w:eastAsia="Calibri" w:cs="Arial" w:ascii="Arial" w:hAnsi="Arial"/>
          <w:iCs/>
          <w:color w:val="000000"/>
          <w:kern w:val="0"/>
          <w:sz w:val="22"/>
          <w:szCs w:val="22"/>
          <w:lang w:val="en-GB" w:eastAsia="en-GB" w:bidi="ar-SA"/>
        </w:rPr>
        <w:t xml:space="preserve">and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Monekey. </w:t>
      </w:r>
      <w:r>
        <w:rPr>
          <w:rStyle w:val="InternetLink"/>
          <w:rFonts w:eastAsia="Calibri" w:cs="Arial" w:ascii="Arial" w:hAnsi="Arial"/>
          <w:iCs/>
          <w:sz w:val="22"/>
          <w:szCs w:val="22"/>
        </w:rPr>
        <w:t>https://developer.android.com/studio/test/other-testing-tools/monkey</w:t>
      </w:r>
    </w:p>
    <w:sectPr>
      <w:headerReference w:type="default" r:id="rId18"/>
      <w:footerReference w:type="default" r:id="rId19"/>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(ca. 100 words)</w:t>
      </w:r>
    </w:p>
  </w:comment>
  <w:comment w:id="1" w:author="Unknown Author" w:date="2022-05-19T18:29:1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In this section, we want you to introduce the scientific background and the motivation for developing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Explain why the software is important and describe the exact (scientific) problem(s) it solves.</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Indicate in what way the software has contributed (or will contribute in the future) to the process of scientific discovery; if available, please cite a research paper using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Provide a description of the experimental setting. (How does the user use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Describe the software. Provide enough detail to help the reader understand its impact. </w:t>
      </w:r>
    </w:p>
  </w:comment>
  <w:comment w:id="3" w:author="Unknown Author" w:date="2022-05-19T12:06:59Z" w:initials="">
    <w:p>
      <w:r>
        <w:rPr>
          <w:rFonts w:ascii="Arial" w:hAnsi="Arial" w:eastAsia="Calibri" w:cs="Arial"/>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eastAsia="en-GB" w:bidi="ar-SA"/>
        </w:rPr>
        <w:t>Give a short overview of the overall software architecture; provide a pictorial overview where possible; for example, an image showing the components. If necessary, provide implementation details.</w:t>
      </w:r>
    </w:p>
  </w:comment>
  <w:comment w:id="4" w:author="Unknown Author" w:date="2022-06-03T15:56:5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El font quedo chico. Habria que compactar la imagen por fuera y volver a pegarla</w:t>
      </w:r>
    </w:p>
  </w:comment>
  <w:comment w:id="5" w:author="Unknown Author" w:date="2022-05-19T12:53:18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Present the major functionalities of the software</w:t>
      </w:r>
    </w:p>
  </w:comment>
  <w:comment w:id="6" w:author="Unknown Author" w:date="2022-06-02T15:39:26Z" w:initials="">
    <w:p>
      <w:r>
        <w:rPr>
          <w:rFonts w:ascii="Arial" w:hAnsi="Arial" w:eastAsia="Calibri" w:cs="Arial"/>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Only one MP4 formatted video (max. size 150MB) is possible per article and this should be uploaded as a single supplementary file with your submission. Recommended video dimensions are 640 x 480 at a maximum of 30 frames / second.</w:t>
      </w:r>
    </w:p>
  </w:comment>
  <w:comment w:id="7" w:author="Unknown Author" w:date="2022-06-03T17:29:0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Se llega a esta seccion sin enfatizar mucho de deep learning, o las dos áreas detras de los modelos que se usan ahora (en la intro se promete smart cities y agrotics)</w:t>
      </w:r>
    </w:p>
  </w:comment>
  <w:comment w:id="8" w:author="Unknown Author" w:date="2022-05-24T11:09:2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Habrá que esmerarse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361854356"/>
    </w:sdtPr>
    <w:sdtContent>
      <w:p>
        <w:pPr>
          <w:pStyle w:val="Footer"/>
          <w:jc w:val="center"/>
          <w:rPr/>
        </w:pPr>
        <w:r>
          <w:rPr/>
          <w:fldChar w:fldCharType="begin"/>
        </w:r>
        <w:r>
          <w:rPr/>
          <w:instrText> PAGE </w:instrText>
        </w:r>
        <w:r>
          <w:rPr/>
          <w:fldChar w:fldCharType="separate"/>
        </w:r>
        <w:r>
          <w:rPr/>
          <w:t>10</w:t>
        </w:r>
        <w:r>
          <w:rP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bullet"/>
      <w:lvlText w:val="●"/>
      <w:lvlJc w:val="left"/>
      <w:pPr>
        <w:tabs>
          <w:tab w:val="num" w:pos="0"/>
        </w:tabs>
        <w:ind w:left="360" w:hanging="0"/>
      </w:pPr>
      <w:rPr>
        <w:rFonts w:ascii="Arial" w:hAnsi="Arial" w:cs="Arial" w:hint="default"/>
      </w:rPr>
    </w:lvl>
    <w:lvl w:ilvl="1">
      <w:start w:val="1"/>
      <w:numFmt w:val="decimal"/>
      <w:lvlText w:val="●.%2."/>
      <w:lvlJc w:val="left"/>
      <w:pPr>
        <w:tabs>
          <w:tab w:val="num" w:pos="0"/>
        </w:tabs>
        <w:ind w:left="792" w:firstLine="360"/>
      </w:pPr>
    </w:lvl>
    <w:lvl w:ilvl="2">
      <w:start w:val="1"/>
      <w:numFmt w:val="decimal"/>
      <w:lvlText w:val="●.%2.%3."/>
      <w:lvlJc w:val="left"/>
      <w:pPr>
        <w:tabs>
          <w:tab w:val="num" w:pos="0"/>
        </w:tabs>
        <w:ind w:left="1224" w:firstLine="720"/>
      </w:pPr>
    </w:lvl>
    <w:lvl w:ilvl="3">
      <w:start w:val="1"/>
      <w:numFmt w:val="decimal"/>
      <w:lvlText w:val="●.%2.%3.%4."/>
      <w:lvlJc w:val="left"/>
      <w:pPr>
        <w:tabs>
          <w:tab w:val="num" w:pos="0"/>
        </w:tabs>
        <w:ind w:left="1728" w:firstLine="1080"/>
      </w:pPr>
    </w:lvl>
    <w:lvl w:ilvl="4">
      <w:start w:val="1"/>
      <w:numFmt w:val="decimal"/>
      <w:lvlText w:val="●.%2.%3.%4.%5."/>
      <w:lvlJc w:val="left"/>
      <w:pPr>
        <w:tabs>
          <w:tab w:val="num" w:pos="0"/>
        </w:tabs>
        <w:ind w:left="2232" w:firstLine="1440"/>
      </w:pPr>
    </w:lvl>
    <w:lvl w:ilvl="5">
      <w:start w:val="1"/>
      <w:numFmt w:val="decimal"/>
      <w:lvlText w:val="●.%2.%3.%4.%5.%6."/>
      <w:lvlJc w:val="left"/>
      <w:pPr>
        <w:tabs>
          <w:tab w:val="num" w:pos="0"/>
        </w:tabs>
        <w:ind w:left="2736" w:firstLine="1800"/>
      </w:pPr>
    </w:lvl>
    <w:lvl w:ilvl="6">
      <w:start w:val="1"/>
      <w:numFmt w:val="decimal"/>
      <w:lvlText w:val="●.%2.%3.%4.%5.%6.%7."/>
      <w:lvlJc w:val="left"/>
      <w:pPr>
        <w:tabs>
          <w:tab w:val="num" w:pos="0"/>
        </w:tabs>
        <w:ind w:left="3240" w:firstLine="2160"/>
      </w:pPr>
    </w:lvl>
    <w:lvl w:ilvl="7">
      <w:start w:val="1"/>
      <w:numFmt w:val="decimal"/>
      <w:lvlText w:val="●.%2.%3.%4.%5.%6.%7.%8."/>
      <w:lvlJc w:val="left"/>
      <w:pPr>
        <w:tabs>
          <w:tab w:val="num" w:pos="0"/>
        </w:tabs>
        <w:ind w:left="3744" w:firstLine="2520"/>
      </w:pPr>
    </w:lvl>
    <w:lvl w:ilvl="8">
      <w:start w:val="1"/>
      <w:numFmt w:val="decimal"/>
      <w:lvlText w:val="●.%2.%3.%4.%5.%6.%7.%8.%9."/>
      <w:lvlJc w:val="left"/>
      <w:pPr>
        <w:tabs>
          <w:tab w:val="num" w:pos="0"/>
        </w:tabs>
        <w:ind w:left="4320" w:firstLine="2880"/>
      </w:pPr>
    </w:lvl>
  </w:abstractNum>
  <w:abstractNum w:abstractNumId="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5.png"/><Relationship Id="rId16" Type="http://schemas.openxmlformats.org/officeDocument/2006/relationships/hyperlink" Target="https://www.linkedin.com/in/tailmon/?originalSubdomain=cl" TargetMode="External"/><Relationship Id="rId17" Type="http://schemas.openxmlformats.org/officeDocument/2006/relationships/hyperlink" Target="https://www.browserstack.com/" TargetMode="External"/><Relationship Id="rId18" Type="http://schemas.openxmlformats.org/officeDocument/2006/relationships/header" Target="header1.xml"/><Relationship Id="rId19" Type="http://schemas.openxmlformats.org/officeDocument/2006/relationships/footer" Target="footer1.xml"/><Relationship Id="rId20" Type="http://schemas.openxmlformats.org/officeDocument/2006/relationships/footnotes" Target="footnotes.xml"/><Relationship Id="rId21" Type="http://schemas.openxmlformats.org/officeDocument/2006/relationships/comments" Target="comments.xml"/><Relationship Id="rId22" Type="http://schemas.openxmlformats.org/officeDocument/2006/relationships/numbering" Target="numbering.xml"/><Relationship Id="rId23" Type="http://schemas.openxmlformats.org/officeDocument/2006/relationships/fontTable" Target="fontTable.xml"/><Relationship Id="rId24" Type="http://schemas.openxmlformats.org/officeDocument/2006/relationships/settings" Target="settings.xml"/><Relationship Id="rId2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704</TotalTime>
  <Application>LibreOffice/7.2.6.2$Linux_X86_64 LibreOffice_project/20$Build-2</Application>
  <AppVersion>15.0000</AppVersion>
  <DocSecurity>4</DocSecurity>
  <Pages>10</Pages>
  <Words>3002</Words>
  <Characters>17550</Characters>
  <CharactersWithSpaces>20433</CharactersWithSpaces>
  <Paragraphs>135</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2022-06-21T15:47:36Z</dcterms:modified>
  <cp:revision>120</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